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DE8A6" w14:textId="77777777" w:rsidR="00C05F1C" w:rsidRDefault="00C05F1C" w:rsidP="00C05F1C">
      <w:r>
        <w:t>Here is an industry validation of your financial model's assumptions, followed by a strategic assessment and clear advice on how to approach these metrics before sitting down with institutional investors or diligence analysts.</w:t>
      </w:r>
    </w:p>
    <w:p w14:paraId="2C9310E8" w14:textId="77777777" w:rsidR="00C05F1C" w:rsidRDefault="00C05F1C" w:rsidP="00C05F1C">
      <w:r>
        <w:t xml:space="preserve">## </w:t>
      </w:r>
      <w:r>
        <w:rPr>
          <w:rFonts w:ascii="Apple Color Emoji" w:hAnsi="Apple Color Emoji" w:cs="Apple Color Emoji"/>
        </w:rPr>
        <w:t>📋</w:t>
      </w:r>
      <w:r>
        <w:t xml:space="preserve"> Industry Benchmarks vs. </w:t>
      </w:r>
      <w:proofErr w:type="spellStart"/>
      <w:r>
        <w:t>NutriSync</w:t>
      </w:r>
      <w:proofErr w:type="spellEnd"/>
      <w:r>
        <w:t xml:space="preserve"> Assumptions</w:t>
      </w:r>
    </w:p>
    <w:p w14:paraId="20FC5DA3" w14:textId="77777777" w:rsidR="00C05F1C" w:rsidRDefault="00C05F1C" w:rsidP="00C05F1C">
      <w:r>
        <w:t>Your assumptions are quite disciplined in places (such as founder stipends and infrastructure), but your **user retention and conversion metrics** lean toward best-in-class performance rather than true "conservative" baselines.</w:t>
      </w:r>
    </w:p>
    <w:p w14:paraId="0CA10964" w14:textId="77777777" w:rsidR="00C05F1C" w:rsidRDefault="00C05F1C" w:rsidP="00C05F1C">
      <w:r>
        <w:t>### 1. Retention &amp; Churn (The Elephant in the Room)</w:t>
      </w:r>
    </w:p>
    <w:p w14:paraId="18F1E645" w14:textId="77777777" w:rsidR="00C05F1C" w:rsidRDefault="00C05F1C" w:rsidP="00C05F1C">
      <w:r>
        <w:t xml:space="preserve"> * **Your Assumptions:** Monthly B2C base churn of **10% (Conservative)**, **8% (Realistic)**, and **7% (Ambitious)** in Year 1, dropping to **5–7%** in Year 2.</w:t>
      </w:r>
    </w:p>
    <w:p w14:paraId="131BAD9A" w14:textId="77777777" w:rsidR="00C05F1C" w:rsidRDefault="00C05F1C" w:rsidP="00C05F1C">
      <w:r>
        <w:t xml:space="preserve"> * **Industry Reality:** For B2C wellness and health apps, the average Day 30 retention floats between **7% to 15%** (which implies a **30% to 50%+** churn rate in month one alone). For established, mature subscription giants like Calm or Headspace, steady-state monthly churn sits around **4% to 6%**.</w:t>
      </w:r>
    </w:p>
    <w:p w14:paraId="27DF99D4" w14:textId="77777777" w:rsidR="00C05F1C" w:rsidRDefault="00C05F1C" w:rsidP="00C05F1C">
      <w:r>
        <w:t xml:space="preserve"> * **The Verdict:** A **10% monthly churn rate for a brand-new Year 1 app is actually an *ambitious/optimistic* case**, not a conservative one. Compounding a 10% monthly churn over 12 months means you lose roughly **72%** of the cohorts you acquire by the end of the year. If your "Conservative" case assumes 10%, a true downside stress-test should use **12–15% monthly churn**.</w:t>
      </w:r>
    </w:p>
    <w:p w14:paraId="481D2C49" w14:textId="77777777" w:rsidR="00C05F1C" w:rsidRDefault="00C05F1C" w:rsidP="00C05F1C">
      <w:r>
        <w:t>### 2. Conversions (Free-to-Paid &amp; Waitlist)</w:t>
      </w:r>
    </w:p>
    <w:p w14:paraId="2238D74B" w14:textId="77777777" w:rsidR="00C05F1C" w:rsidRDefault="00C05F1C" w:rsidP="00C05F1C">
      <w:r>
        <w:t xml:space="preserve"> * **Your Assumptions:** Free-to-paid conversion of **18% per month** across all scenarios. Waitlist-to-paid at **25% to 42%**.</w:t>
      </w:r>
    </w:p>
    <w:p w14:paraId="79A82BDD" w14:textId="77777777" w:rsidR="00C05F1C" w:rsidRDefault="00C05F1C" w:rsidP="00C05F1C">
      <w:r>
        <w:t xml:space="preserve"> * **Industry Reality:** Average B2C freemium mobile apps convert free installs to paid subscriptions at a rate of **2% to 5%**. Top-quartile apps in the health/fitness space manage **7% to 10%**.</w:t>
      </w:r>
    </w:p>
    <w:p w14:paraId="43A7B266" w14:textId="77777777" w:rsidR="00C05F1C" w:rsidRDefault="00C05F1C" w:rsidP="00C05F1C">
      <w:r>
        <w:t xml:space="preserve"> * **The Verdict:** Your note mentions that your waitlist attended paid events and shows high intent, which justifies a higher initial conversion. However, a sustained **18% monthly free-to-paid conversion across the board is highly aggressive**. If an analyst sees 18% in a spreadsheet, they will immediately Flag this as a model driven by over-optimism rather than historical software SaaS baselines.</w:t>
      </w:r>
    </w:p>
    <w:p w14:paraId="1373C94D" w14:textId="77777777" w:rsidR="00C05F1C" w:rsidRDefault="00C05F1C" w:rsidP="00C05F1C">
      <w:r>
        <w:t>### 3. Wearable Integration Churn Reduction</w:t>
      </w:r>
    </w:p>
    <w:p w14:paraId="5BFE4512" w14:textId="77777777" w:rsidR="00C05F1C" w:rsidRDefault="00C05F1C" w:rsidP="00C05F1C">
      <w:r>
        <w:t xml:space="preserve"> * **Your Assumption:** Connecting a wearable device cuts base churn by **50%** (e.g., from 10% down to 5%).</w:t>
      </w:r>
    </w:p>
    <w:p w14:paraId="44ACA2EC" w14:textId="77777777" w:rsidR="00C05F1C" w:rsidRDefault="00C05F1C" w:rsidP="00C05F1C">
      <w:r>
        <w:t xml:space="preserve"> * **Industry Reality:** This assumption is highly valid and structurally sound. Data from continuous engagement platforms (like Whoop, </w:t>
      </w:r>
      <w:proofErr w:type="spellStart"/>
      <w:r>
        <w:t>Oura</w:t>
      </w:r>
      <w:proofErr w:type="spellEnd"/>
      <w:r>
        <w:t xml:space="preserve">, and </w:t>
      </w:r>
      <w:proofErr w:type="spellStart"/>
      <w:r>
        <w:t>personalized</w:t>
      </w:r>
      <w:proofErr w:type="spellEnd"/>
      <w:r>
        <w:t xml:space="preserve"> health trackers) consistently proves that hardware loop integrations create a massive "lock-in" effect. When a user feeds real-time biometric data into an app, the perceived value sky-rockets, causing churn to plummet.</w:t>
      </w:r>
    </w:p>
    <w:p w14:paraId="2DF31A57" w14:textId="77777777" w:rsidR="00C05F1C" w:rsidRDefault="00C05F1C" w:rsidP="00C05F1C">
      <w:r>
        <w:t xml:space="preserve"> * **The Verdict:** Keep this mechanism, as it highlights your "Deep Tech" differentiation. It serves as an excellent talking point for your unit economics.</w:t>
      </w:r>
    </w:p>
    <w:p w14:paraId="624656F1" w14:textId="77777777" w:rsidR="00C05F1C" w:rsidRDefault="00C05F1C" w:rsidP="00C05F1C">
      <w:r>
        <w:t>### 4. App Store Fees &amp; The $1M Threshold</w:t>
      </w:r>
    </w:p>
    <w:p w14:paraId="3F824580" w14:textId="77777777" w:rsidR="00C05F1C" w:rsidRDefault="00C05F1C" w:rsidP="00C05F1C">
      <w:r>
        <w:t xml:space="preserve"> * **Your Assumptions:** **30%** standard fee, dropping to **15%** after €1M/year B2C revenue via the Small Business Programme.</w:t>
      </w:r>
    </w:p>
    <w:p w14:paraId="03B11333" w14:textId="77777777" w:rsidR="00C05F1C" w:rsidRDefault="00C05F1C" w:rsidP="00C05F1C">
      <w:r>
        <w:t xml:space="preserve"> * **The Verdict:** **This needs a minor correction.** The Apple Small Business Program gives you the **15% fee from Day 1** on your first $1M of annual revenue. It only bumps *up* to 30% *after* you surpass $1M in calendar year receipts. You have </w:t>
      </w:r>
      <w:proofErr w:type="spellStart"/>
      <w:r>
        <w:t>modeled</w:t>
      </w:r>
      <w:proofErr w:type="spellEnd"/>
      <w:r>
        <w:t xml:space="preserve"> it backward (starting at 30% and dropping to 15%). This means your early-stage margins are actually *better* than your current model shows, but your Year 3 margins will face a step-down penalty if your Ambitious scenario crosses the threshold.</w:t>
      </w:r>
    </w:p>
    <w:p w14:paraId="3B3A3AE2" w14:textId="77777777" w:rsidR="00C05F1C" w:rsidRDefault="00C05F1C" w:rsidP="00C05F1C">
      <w:r>
        <w:t xml:space="preserve">## </w:t>
      </w:r>
      <w:r>
        <w:rPr>
          <w:rFonts w:ascii="Apple Color Emoji" w:hAnsi="Apple Color Emoji" w:cs="Apple Color Emoji"/>
        </w:rPr>
        <w:t>🧠</w:t>
      </w:r>
      <w:r>
        <w:t xml:space="preserve"> Strategic Assessment &amp; Pitch Advice</w:t>
      </w:r>
    </w:p>
    <w:p w14:paraId="43F1C226" w14:textId="77777777" w:rsidR="00C05F1C" w:rsidRDefault="00C05F1C" w:rsidP="00C05F1C">
      <w:r>
        <w:t>### The Good News: Your Runway is Real</w:t>
      </w:r>
    </w:p>
    <w:p w14:paraId="2CB201AD" w14:textId="77777777" w:rsidR="00C05F1C" w:rsidRDefault="00C05F1C" w:rsidP="00C05F1C">
      <w:r>
        <w:t>The strongest asset your financial model provides right now is proof of capital discipline. With a Year 1 burn of **~€147K** and founder stipends set well below market rates (€900/month), your **€350K pre-seed/seed ask provides a rock-solid, 18+ month runway** that easily survives unexpected dry spells before your M13 seed round. Investors love to see founders who treat capital like oxygen.</w:t>
      </w:r>
    </w:p>
    <w:p w14:paraId="43F70378" w14:textId="77777777" w:rsidR="00C05F1C" w:rsidRDefault="00C05F1C" w:rsidP="00C05F1C">
      <w:r>
        <w:t>### The Warning: Watch the Paid CAC Trap</w:t>
      </w:r>
    </w:p>
    <w:p w14:paraId="764CE037" w14:textId="77777777" w:rsidR="00C05F1C" w:rsidRDefault="00C05F1C" w:rsidP="00C05F1C">
      <w:r>
        <w:t>Your analysis notes that the paid channel LTV:CAC is **2.85×** in the downside scenario—falling just short of the coveted **3.0× SaaS health threshold**.</w:t>
      </w:r>
    </w:p>
    <w:p w14:paraId="7E42A513" w14:textId="77777777" w:rsidR="00C05F1C" w:rsidRDefault="00C05F1C" w:rsidP="00C05F1C">
      <w:r>
        <w:t xml:space="preserve">Because paid social (Instagram, TikTok, Meta) becomes highly marginal when real-world churn and rising ad costs are factored in, **do not position </w:t>
      </w:r>
      <w:proofErr w:type="spellStart"/>
      <w:r>
        <w:t>NutriSync</w:t>
      </w:r>
      <w:proofErr w:type="spellEnd"/>
      <w:r>
        <w:t xml:space="preserve"> as a performance-marketing-driven growth story.**</w:t>
      </w:r>
    </w:p>
    <w:p w14:paraId="5DC3B6EC" w14:textId="77777777" w:rsidR="00C05F1C" w:rsidRDefault="00C05F1C" w:rsidP="00C05F1C">
      <w:r>
        <w:t>Instead, lean heavily into your organic, clinical, and B2B corporate wellness channels. Frame your growth story around B2B distribution partnerships and clinical credibility rather than burning venture dollars on Zuckerberg's ad auction.</w:t>
      </w:r>
    </w:p>
    <w:p w14:paraId="384D60AA" w14:textId="77777777" w:rsidR="00C05F1C" w:rsidRDefault="00C05F1C" w:rsidP="00C05F1C">
      <w:r>
        <w:t xml:space="preserve">## </w:t>
      </w:r>
      <w:r>
        <w:rPr>
          <w:rFonts w:ascii="Apple Color Emoji" w:hAnsi="Apple Color Emoji" w:cs="Apple Color Emoji"/>
        </w:rPr>
        <w:t>🛠️</w:t>
      </w:r>
      <w:r>
        <w:t xml:space="preserve"> Next Steps &amp; Actionable Advice</w:t>
      </w:r>
    </w:p>
    <w:p w14:paraId="0B8226F0" w14:textId="77777777" w:rsidR="00C05F1C" w:rsidRDefault="00C05F1C" w:rsidP="00C05F1C">
      <w:r>
        <w:t xml:space="preserve"> 1. **Accept the Sensitivity Grid:** You should absolutely add that **6th sheet (CAC × Churn → Breakeven Month)**. Proactively building a sensitivity matrix shows institutional investors that you aren't hiding from bad data; it proves you understand exactly which levers break your business model.</w:t>
      </w:r>
    </w:p>
    <w:p w14:paraId="1B1C7C1D" w14:textId="77777777" w:rsidR="00C05F1C" w:rsidRDefault="00C05F1C" w:rsidP="00C05F1C">
      <w:r>
        <w:t xml:space="preserve"> 2. **Re-label the Scenarios:** Rename your current "Conservative" scenario to **"Target/Base Case"** and build a true, harsh downside scenario (e.g., 14% monthly churn, 6% free-to-paid conversion). If your €350K ask still survives *that* </w:t>
      </w:r>
      <w:proofErr w:type="spellStart"/>
      <w:r>
        <w:t>trainwreck</w:t>
      </w:r>
      <w:proofErr w:type="spellEnd"/>
      <w:r>
        <w:t>, you are entirely bulletproof in a pitch room.</w:t>
      </w:r>
    </w:p>
    <w:p w14:paraId="2ED21D7B" w14:textId="77777777" w:rsidR="00C05F1C" w:rsidRDefault="00C05F1C" w:rsidP="00C05F1C">
      <w:r>
        <w:t xml:space="preserve"> 3. **Fix the Apple Fee Logic:** Adjust the formula on the sheets so the app store fee starts at 15% and increases to 30% only when cumulative annual B2C revenue crosses the $1M mark.</w:t>
      </w:r>
    </w:p>
    <w:p w14:paraId="703788CE" w14:textId="4DC1D352" w:rsidR="00C05F1C" w:rsidRDefault="00C05F1C">
      <w:r>
        <w:t>Would you like me to help you draft the mathematical logic or Python code to structure that sensitivity grid before you add it to the workbook?</w:t>
      </w:r>
    </w:p>
    <w:sectPr w:rsidR="00C05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1C"/>
    <w:rsid w:val="00C05F1C"/>
    <w:rsid w:val="00C552E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6734A6B4"/>
  <w15:chartTrackingRefBased/>
  <w15:docId w15:val="{523FDFC0-4733-8A4E-B8B1-FD5D00DA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F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5F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5F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5F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5F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5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F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5F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5F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5F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5F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5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F1C"/>
    <w:rPr>
      <w:rFonts w:eastAsiaTheme="majorEastAsia" w:cstheme="majorBidi"/>
      <w:color w:val="272727" w:themeColor="text1" w:themeTint="D8"/>
    </w:rPr>
  </w:style>
  <w:style w:type="paragraph" w:styleId="Title">
    <w:name w:val="Title"/>
    <w:basedOn w:val="Normal"/>
    <w:next w:val="Normal"/>
    <w:link w:val="TitleChar"/>
    <w:uiPriority w:val="10"/>
    <w:qFormat/>
    <w:rsid w:val="00C05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F1C"/>
    <w:pPr>
      <w:spacing w:before="160"/>
      <w:jc w:val="center"/>
    </w:pPr>
    <w:rPr>
      <w:i/>
      <w:iCs/>
      <w:color w:val="404040" w:themeColor="text1" w:themeTint="BF"/>
    </w:rPr>
  </w:style>
  <w:style w:type="character" w:customStyle="1" w:styleId="QuoteChar">
    <w:name w:val="Quote Char"/>
    <w:basedOn w:val="DefaultParagraphFont"/>
    <w:link w:val="Quote"/>
    <w:uiPriority w:val="29"/>
    <w:rsid w:val="00C05F1C"/>
    <w:rPr>
      <w:i/>
      <w:iCs/>
      <w:color w:val="404040" w:themeColor="text1" w:themeTint="BF"/>
    </w:rPr>
  </w:style>
  <w:style w:type="paragraph" w:styleId="ListParagraph">
    <w:name w:val="List Paragraph"/>
    <w:basedOn w:val="Normal"/>
    <w:uiPriority w:val="34"/>
    <w:qFormat/>
    <w:rsid w:val="00C05F1C"/>
    <w:pPr>
      <w:ind w:left="720"/>
      <w:contextualSpacing/>
    </w:pPr>
  </w:style>
  <w:style w:type="character" w:styleId="IntenseEmphasis">
    <w:name w:val="Intense Emphasis"/>
    <w:basedOn w:val="DefaultParagraphFont"/>
    <w:uiPriority w:val="21"/>
    <w:qFormat/>
    <w:rsid w:val="00C05F1C"/>
    <w:rPr>
      <w:i/>
      <w:iCs/>
      <w:color w:val="2F5496" w:themeColor="accent1" w:themeShade="BF"/>
    </w:rPr>
  </w:style>
  <w:style w:type="paragraph" w:styleId="IntenseQuote">
    <w:name w:val="Intense Quote"/>
    <w:basedOn w:val="Normal"/>
    <w:next w:val="Normal"/>
    <w:link w:val="IntenseQuoteChar"/>
    <w:uiPriority w:val="30"/>
    <w:qFormat/>
    <w:rsid w:val="00C05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5F1C"/>
    <w:rPr>
      <w:i/>
      <w:iCs/>
      <w:color w:val="2F5496" w:themeColor="accent1" w:themeShade="BF"/>
    </w:rPr>
  </w:style>
  <w:style w:type="character" w:styleId="IntenseReference">
    <w:name w:val="Intense Reference"/>
    <w:basedOn w:val="DefaultParagraphFont"/>
    <w:uiPriority w:val="32"/>
    <w:qFormat/>
    <w:rsid w:val="00C05F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JOSE CEBRIAN</dc:creator>
  <cp:keywords/>
  <dc:description/>
  <cp:lastModifiedBy>JUAN JOSE CEBRIAN</cp:lastModifiedBy>
  <cp:revision>2</cp:revision>
  <dcterms:created xsi:type="dcterms:W3CDTF">2026-06-11T21:53:00Z</dcterms:created>
  <dcterms:modified xsi:type="dcterms:W3CDTF">2026-06-11T21:53:00Z</dcterms:modified>
</cp:coreProperties>
</file>